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DA723E" w:rsidRDefault="00E14DAE">
      <w:pPr>
        <w:spacing w:before="120" w:after="0" w:line="360" w:lineRule="auto"/>
        <w:jc w:val="right"/>
        <w:rPr>
          <w:rFonts w:ascii="Arial" w:eastAsia="Arial" w:hAnsi="Arial" w:cs="Arial"/>
          <w:color w:val="000000"/>
        </w:rPr>
      </w:pPr>
      <w:bookmarkStart w:id="0" w:name="_GoBack"/>
      <w:bookmarkEnd w:id="0"/>
      <w:r>
        <w:rPr>
          <w:rFonts w:ascii="Arial" w:eastAsia="Arial" w:hAnsi="Arial" w:cs="Arial"/>
          <w:color w:val="000000"/>
        </w:rPr>
        <w:t>II.</w:t>
      </w:r>
    </w:p>
    <w:p w14:paraId="00000002" w14:textId="77777777" w:rsidR="00DA723E" w:rsidRDefault="00E14DAE">
      <w:pPr>
        <w:spacing w:after="0" w:line="36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PŘEDKLÁDACÍ ZPRÁVA</w:t>
      </w:r>
    </w:p>
    <w:p w14:paraId="65200B59" w14:textId="77777777" w:rsidR="00130887" w:rsidRDefault="00130887" w:rsidP="00D17EC4">
      <w:pPr>
        <w:spacing w:after="120" w:line="240" w:lineRule="auto"/>
        <w:jc w:val="both"/>
        <w:rPr>
          <w:rFonts w:ascii="Arial" w:eastAsia="Arial" w:hAnsi="Arial" w:cs="Arial"/>
        </w:rPr>
      </w:pPr>
    </w:p>
    <w:p w14:paraId="00000003" w14:textId="5410B8DB" w:rsidR="00DA723E" w:rsidRDefault="00E14DAE" w:rsidP="00D17EC4">
      <w:pPr>
        <w:spacing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Vládě ČR je předkládán Technologickou agenturou České republiky (dále jen „TA ČR“) materiál nazvaný </w:t>
      </w:r>
      <w:r w:rsidR="00D52E62">
        <w:rPr>
          <w:rFonts w:ascii="Arial" w:eastAsia="Arial" w:hAnsi="Arial" w:cs="Arial"/>
        </w:rPr>
        <w:t>Perspektivy</w:t>
      </w:r>
      <w:r w:rsidR="00D17EC4" w:rsidRPr="00D17EC4">
        <w:rPr>
          <w:rFonts w:ascii="Arial" w:eastAsia="Arial" w:hAnsi="Arial" w:cs="Arial"/>
        </w:rPr>
        <w:t xml:space="preserve"> rozvoje Technologické agentury České republiky v rámci systému českého výzkumu, vývoje a inovací 2021-2025</w:t>
      </w:r>
      <w:r w:rsidR="00D52E62">
        <w:rPr>
          <w:rFonts w:ascii="Arial" w:eastAsia="Arial" w:hAnsi="Arial" w:cs="Arial"/>
        </w:rPr>
        <w:t xml:space="preserve"> (dále jen “Perspektivy</w:t>
      </w:r>
      <w:r>
        <w:rPr>
          <w:rFonts w:ascii="Arial" w:eastAsia="Arial" w:hAnsi="Arial" w:cs="Arial"/>
        </w:rPr>
        <w:t>”).</w:t>
      </w:r>
    </w:p>
    <w:p w14:paraId="00000004" w14:textId="7053BB1A" w:rsidR="00DA723E" w:rsidRDefault="00D52E62" w:rsidP="00D17EC4">
      <w:pPr>
        <w:spacing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Perspektivy</w:t>
      </w:r>
      <w:r w:rsidR="00E14DAE">
        <w:rPr>
          <w:rFonts w:ascii="Arial" w:eastAsia="Arial" w:hAnsi="Arial" w:cs="Arial"/>
        </w:rPr>
        <w:t xml:space="preserve"> vychází z</w:t>
      </w:r>
      <w:r w:rsidR="00D17EC4">
        <w:rPr>
          <w:rFonts w:ascii="Arial" w:eastAsia="Arial" w:hAnsi="Arial" w:cs="Arial"/>
        </w:rPr>
        <w:t> </w:t>
      </w:r>
      <w:r w:rsidR="00E14DAE">
        <w:rPr>
          <w:rFonts w:ascii="Arial" w:eastAsia="Arial" w:hAnsi="Arial" w:cs="Arial"/>
        </w:rPr>
        <w:t>aktualizace</w:t>
      </w:r>
      <w:r w:rsidR="00D17EC4">
        <w:rPr>
          <w:rFonts w:ascii="Arial" w:eastAsia="Arial" w:hAnsi="Arial" w:cs="Arial"/>
        </w:rPr>
        <w:t xml:space="preserve"> interního dokumentu</w:t>
      </w:r>
      <w:r w:rsidR="00E14DAE">
        <w:rPr>
          <w:rFonts w:ascii="Arial" w:eastAsia="Arial" w:hAnsi="Arial" w:cs="Arial"/>
        </w:rPr>
        <w:t xml:space="preserve"> Vyhodnocení plnění Koncepce rozvoje TA ČR 2016-2025 po čtyřech a půl letech její implementace, shrnuje dosavadní zkušenosti, doplňuje a</w:t>
      </w:r>
      <w:r w:rsidR="000D37BB">
        <w:rPr>
          <w:rFonts w:ascii="Arial" w:eastAsia="Arial" w:hAnsi="Arial" w:cs="Arial"/>
        </w:rPr>
        <w:t> </w:t>
      </w:r>
      <w:r w:rsidR="00E14DAE">
        <w:rPr>
          <w:rFonts w:ascii="Arial" w:eastAsia="Arial" w:hAnsi="Arial" w:cs="Arial"/>
        </w:rPr>
        <w:t>představuje r</w:t>
      </w:r>
      <w:r>
        <w:rPr>
          <w:rFonts w:ascii="Arial" w:eastAsia="Arial" w:hAnsi="Arial" w:cs="Arial"/>
        </w:rPr>
        <w:t>ozvojové záměry do roku 2025. Perspektivy jsou vytvořeny</w:t>
      </w:r>
      <w:r w:rsidR="00143947">
        <w:rPr>
          <w:rFonts w:ascii="Arial" w:eastAsia="Arial" w:hAnsi="Arial" w:cs="Arial"/>
        </w:rPr>
        <w:t xml:space="preserve"> tak, aby se nemusely</w:t>
      </w:r>
      <w:r w:rsidR="00E14DAE">
        <w:rPr>
          <w:rFonts w:ascii="Arial" w:eastAsia="Arial" w:hAnsi="Arial" w:cs="Arial"/>
        </w:rPr>
        <w:t xml:space="preserve"> zásadně měnit v souvislosti </w:t>
      </w:r>
      <w:r>
        <w:rPr>
          <w:rFonts w:ascii="Arial" w:eastAsia="Arial" w:hAnsi="Arial" w:cs="Arial"/>
        </w:rPr>
        <w:t xml:space="preserve">se změnami ve struktuře systému </w:t>
      </w:r>
      <w:r w:rsidR="009E58BE">
        <w:rPr>
          <w:rFonts w:ascii="Arial" w:eastAsia="Arial" w:hAnsi="Arial" w:cs="Arial"/>
        </w:rPr>
        <w:t>výzkumu, vývoje a inovací (dále jen „VaVaI“)</w:t>
      </w:r>
      <w:r w:rsidR="00E14DAE">
        <w:rPr>
          <w:rFonts w:ascii="Arial" w:eastAsia="Arial" w:hAnsi="Arial" w:cs="Arial"/>
        </w:rPr>
        <w:t xml:space="preserve"> a </w:t>
      </w:r>
      <w:r w:rsidR="002C0CAE">
        <w:rPr>
          <w:rFonts w:ascii="Arial" w:eastAsia="Arial" w:hAnsi="Arial" w:cs="Arial"/>
        </w:rPr>
        <w:t xml:space="preserve">vyjadřují </w:t>
      </w:r>
      <w:r w:rsidR="00E14DAE">
        <w:rPr>
          <w:rFonts w:ascii="Arial" w:eastAsia="Arial" w:hAnsi="Arial" w:cs="Arial"/>
        </w:rPr>
        <w:t>snahu TA ČR aktivně přispět k přípravě a realizaci ta</w:t>
      </w:r>
      <w:r>
        <w:rPr>
          <w:rFonts w:ascii="Arial" w:eastAsia="Arial" w:hAnsi="Arial" w:cs="Arial"/>
        </w:rPr>
        <w:t>kovýchto změn. Gestorem Perspektiv</w:t>
      </w:r>
      <w:r w:rsidR="00E14DAE">
        <w:rPr>
          <w:rFonts w:ascii="Arial" w:eastAsia="Arial" w:hAnsi="Arial" w:cs="Arial"/>
        </w:rPr>
        <w:t xml:space="preserve"> je Předsednictvo TA ČR ve spolupráci s V</w:t>
      </w:r>
      <w:r>
        <w:rPr>
          <w:rFonts w:ascii="Arial" w:eastAsia="Arial" w:hAnsi="Arial" w:cs="Arial"/>
        </w:rPr>
        <w:t>ýzkumnou radou TA ČR. V Perspektivách</w:t>
      </w:r>
      <w:r w:rsidR="00E14DAE">
        <w:rPr>
          <w:rFonts w:ascii="Arial" w:eastAsia="Arial" w:hAnsi="Arial" w:cs="Arial"/>
        </w:rPr>
        <w:t xml:space="preserve"> je kladen důraz na posilování nezastupitelné role aplikovaného VaVaI jako zdroje inovací v ekonomice ČR a</w:t>
      </w:r>
      <w:r w:rsidR="000D37BB">
        <w:rPr>
          <w:rFonts w:ascii="Arial" w:eastAsia="Arial" w:hAnsi="Arial" w:cs="Arial"/>
        </w:rPr>
        <w:t> </w:t>
      </w:r>
      <w:r w:rsidR="00E14DAE">
        <w:rPr>
          <w:rFonts w:ascii="Arial" w:eastAsia="Arial" w:hAnsi="Arial" w:cs="Arial"/>
        </w:rPr>
        <w:t xml:space="preserve">české společnosti pro zvyšování konkurenceschopnosti ČR. </w:t>
      </w:r>
    </w:p>
    <w:p w14:paraId="00000005" w14:textId="573DCBA8" w:rsidR="00DA723E" w:rsidRDefault="00D52E62" w:rsidP="00D17EC4">
      <w:pPr>
        <w:spacing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Perspektivy navazují</w:t>
      </w:r>
      <w:r w:rsidR="00E14DAE">
        <w:rPr>
          <w:rFonts w:ascii="Arial" w:eastAsia="Arial" w:hAnsi="Arial" w:cs="Arial"/>
        </w:rPr>
        <w:t xml:space="preserve"> na Strategii T</w:t>
      </w:r>
      <w:r w:rsidR="00D17EC4">
        <w:rPr>
          <w:rFonts w:ascii="Arial" w:eastAsia="Arial" w:hAnsi="Arial" w:cs="Arial"/>
        </w:rPr>
        <w:t xml:space="preserve">A ČR </w:t>
      </w:r>
      <w:r w:rsidR="00E14DAE">
        <w:rPr>
          <w:rFonts w:ascii="Arial" w:eastAsia="Arial" w:hAnsi="Arial" w:cs="Arial"/>
        </w:rPr>
        <w:t>a další strategické dokumenty, např. OSN Agenda 2030, obsahující Cíle udržitelného rozvoje, na evropské úrovni pak přijetí rámcového programu Horizon</w:t>
      </w:r>
      <w:r w:rsidR="002C0CAE">
        <w:rPr>
          <w:rFonts w:ascii="Arial" w:eastAsia="Arial" w:hAnsi="Arial" w:cs="Arial"/>
        </w:rPr>
        <w:t>t</w:t>
      </w:r>
      <w:r w:rsidR="00E14DAE">
        <w:rPr>
          <w:rFonts w:ascii="Arial" w:eastAsia="Arial" w:hAnsi="Arial" w:cs="Arial"/>
        </w:rPr>
        <w:t xml:space="preserve"> </w:t>
      </w:r>
      <w:r w:rsidR="002C0CAE">
        <w:rPr>
          <w:rFonts w:ascii="Arial" w:eastAsia="Arial" w:hAnsi="Arial" w:cs="Arial"/>
        </w:rPr>
        <w:t xml:space="preserve">Evropa </w:t>
      </w:r>
      <w:r w:rsidR="00E14DAE">
        <w:rPr>
          <w:rFonts w:ascii="Arial" w:eastAsia="Arial" w:hAnsi="Arial" w:cs="Arial"/>
        </w:rPr>
        <w:t xml:space="preserve">a politiky European Green Deal. Tyto mezinárodní politiky nevstupují do činnosti TA ČR přímo, ale prostřednictvím národní politiky formulované vládou ČR. Zásadním strategickým dokumentem je Národní politika </w:t>
      </w:r>
      <w:r w:rsidR="00547CA1">
        <w:rPr>
          <w:rFonts w:ascii="Arial" w:eastAsia="Arial" w:hAnsi="Arial" w:cs="Arial"/>
        </w:rPr>
        <w:t>výzkumu, vývoje a inovací ČR 2021+</w:t>
      </w:r>
      <w:r w:rsidR="009E58BE"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</w:rPr>
        <w:t>Perspektivy zohledňují</w:t>
      </w:r>
      <w:r w:rsidR="00E14DAE">
        <w:rPr>
          <w:rFonts w:ascii="Arial" w:eastAsia="Arial" w:hAnsi="Arial" w:cs="Arial"/>
        </w:rPr>
        <w:t xml:space="preserve"> také možné reakce na neočekávané události např. pandemie nemoci COVID-19, která zásadním způsobem ochromila společnost a přinutila veřejný</w:t>
      </w:r>
      <w:r w:rsidR="00DE7AAD">
        <w:rPr>
          <w:rFonts w:ascii="Arial" w:eastAsia="Arial" w:hAnsi="Arial" w:cs="Arial"/>
        </w:rPr>
        <w:br/>
      </w:r>
      <w:r w:rsidR="00E14DAE">
        <w:rPr>
          <w:rFonts w:ascii="Arial" w:eastAsia="Arial" w:hAnsi="Arial" w:cs="Arial"/>
        </w:rPr>
        <w:t>i soukromý</w:t>
      </w:r>
      <w:r w:rsidR="00D17EC4">
        <w:rPr>
          <w:rFonts w:ascii="Arial" w:eastAsia="Arial" w:hAnsi="Arial" w:cs="Arial"/>
        </w:rPr>
        <w:t xml:space="preserve"> </w:t>
      </w:r>
      <w:r w:rsidR="00E14DAE">
        <w:rPr>
          <w:rFonts w:ascii="Arial" w:eastAsia="Arial" w:hAnsi="Arial" w:cs="Arial"/>
        </w:rPr>
        <w:t>sektor</w:t>
      </w:r>
      <w:r w:rsidR="00C43AAA">
        <w:rPr>
          <w:rFonts w:ascii="Arial" w:eastAsia="Arial" w:hAnsi="Arial" w:cs="Arial"/>
        </w:rPr>
        <w:t xml:space="preserve"> </w:t>
      </w:r>
      <w:r w:rsidR="00E14DAE">
        <w:rPr>
          <w:rFonts w:ascii="Arial" w:eastAsia="Arial" w:hAnsi="Arial" w:cs="Arial"/>
        </w:rPr>
        <w:t>ke změnám a inovacím, které by byly ještě v roce 2019 nemyslitelné.</w:t>
      </w:r>
    </w:p>
    <w:p w14:paraId="00000006" w14:textId="47D6E48D" w:rsidR="00DA723E" w:rsidRDefault="00D52E62" w:rsidP="00D17EC4">
      <w:pPr>
        <w:spacing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Perspektivy</w:t>
      </w:r>
      <w:r w:rsidR="00E14DAE">
        <w:rPr>
          <w:rFonts w:ascii="Arial" w:eastAsia="Arial" w:hAnsi="Arial" w:cs="Arial"/>
        </w:rPr>
        <w:t xml:space="preserve"> se </w:t>
      </w:r>
      <w:r w:rsidR="002C0CAE">
        <w:rPr>
          <w:rFonts w:ascii="Arial" w:eastAsia="Arial" w:hAnsi="Arial" w:cs="Arial"/>
        </w:rPr>
        <w:t xml:space="preserve">týkají </w:t>
      </w:r>
      <w:r w:rsidR="00E14DAE">
        <w:rPr>
          <w:rFonts w:ascii="Arial" w:eastAsia="Arial" w:hAnsi="Arial" w:cs="Arial"/>
        </w:rPr>
        <w:t>všech činností TA ČR jako organizační složky státu a správce rozpočtové kapitoly dané jí stávající legislativou.</w:t>
      </w:r>
    </w:p>
    <w:p w14:paraId="57C2D6D9" w14:textId="1A0ACFE3" w:rsidR="00547CA1" w:rsidRPr="00547CA1" w:rsidRDefault="00D52E62" w:rsidP="00547CA1">
      <w:pP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Perspektivy jsou</w:t>
      </w:r>
      <w:r w:rsidR="00E14DAE">
        <w:rPr>
          <w:rFonts w:ascii="Arial" w:eastAsia="Arial" w:hAnsi="Arial" w:cs="Arial"/>
        </w:rPr>
        <w:t xml:space="preserve"> v souladu s hlavními strategickými dokumenty pro oblast VaVaI, zejména </w:t>
      </w:r>
      <w:r w:rsidR="00C43AAA">
        <w:rPr>
          <w:rFonts w:ascii="Arial" w:eastAsia="Arial" w:hAnsi="Arial" w:cs="Arial"/>
        </w:rPr>
        <w:br/>
      </w:r>
      <w:r w:rsidR="00E14DAE">
        <w:rPr>
          <w:rFonts w:ascii="Arial" w:eastAsia="Arial" w:hAnsi="Arial" w:cs="Arial"/>
        </w:rPr>
        <w:t xml:space="preserve">s Národními prioritami orientovaného výzkumu, experimentálního vývoje a inovací a Národní politikou výzkumu, vývoje a inovací ČR 2021+, Inovační strategií České republiky 2019-2030 a Národní výzkumnou a inovační strategií pro inteligentní specializaci České republiky. </w:t>
      </w:r>
      <w:r>
        <w:rPr>
          <w:rFonts w:ascii="Arial" w:eastAsia="Arial" w:hAnsi="Arial" w:cs="Arial"/>
        </w:rPr>
        <w:t>Perspektivy zohledňují postupy doporučené Metodikou</w:t>
      </w:r>
      <w:r w:rsidR="00DE7AAD" w:rsidRPr="00DE7AAD">
        <w:rPr>
          <w:rFonts w:ascii="Arial" w:eastAsia="Arial" w:hAnsi="Arial" w:cs="Arial"/>
        </w:rPr>
        <w:t xml:space="preserve"> přípravy veřejných strategií.</w:t>
      </w:r>
      <w:r w:rsidR="00DE7AAD">
        <w:rPr>
          <w:rFonts w:ascii="Arial" w:eastAsia="Arial" w:hAnsi="Arial" w:cs="Arial"/>
        </w:rPr>
        <w:t xml:space="preserve"> </w:t>
      </w:r>
      <w:r w:rsidR="00547CA1" w:rsidRPr="00547CA1">
        <w:rPr>
          <w:rFonts w:ascii="Arial" w:eastAsia="Arial" w:hAnsi="Arial" w:cs="Arial"/>
        </w:rPr>
        <w:t>Vzhledem</w:t>
      </w:r>
      <w:r w:rsidR="00547CA1">
        <w:rPr>
          <w:rFonts w:ascii="Arial" w:eastAsia="Arial" w:hAnsi="Arial" w:cs="Arial"/>
        </w:rPr>
        <w:t xml:space="preserve"> </w:t>
      </w:r>
      <w:r w:rsidR="00547CA1" w:rsidRPr="00547CA1">
        <w:rPr>
          <w:rFonts w:ascii="Arial" w:eastAsia="Arial" w:hAnsi="Arial" w:cs="Arial"/>
        </w:rPr>
        <w:t>k</w:t>
      </w:r>
      <w:r w:rsidR="00547CA1">
        <w:rPr>
          <w:rFonts w:ascii="Arial" w:eastAsia="Arial" w:hAnsi="Arial" w:cs="Arial"/>
        </w:rPr>
        <w:t xml:space="preserve"> </w:t>
      </w:r>
      <w:r w:rsidR="00547CA1" w:rsidRPr="00547CA1">
        <w:rPr>
          <w:rFonts w:ascii="Arial" w:eastAsia="Arial" w:hAnsi="Arial" w:cs="Arial"/>
        </w:rPr>
        <w:t>tomu,</w:t>
      </w:r>
      <w:r w:rsidR="00547CA1">
        <w:rPr>
          <w:rFonts w:ascii="Arial" w:eastAsia="Arial" w:hAnsi="Arial" w:cs="Arial"/>
        </w:rPr>
        <w:t xml:space="preserve"> </w:t>
      </w:r>
      <w:r w:rsidR="00547CA1" w:rsidRPr="00547CA1">
        <w:rPr>
          <w:rFonts w:ascii="Arial" w:eastAsia="Arial" w:hAnsi="Arial" w:cs="Arial"/>
        </w:rPr>
        <w:t>že vláda ČR jmenuje předsedu TA ČR a rozhoduje o tvorbě a alokaci prostředků</w:t>
      </w:r>
      <w:r w:rsidR="00547CA1">
        <w:rPr>
          <w:rFonts w:ascii="Arial" w:eastAsia="Arial" w:hAnsi="Arial" w:cs="Arial"/>
        </w:rPr>
        <w:t xml:space="preserve"> </w:t>
      </w:r>
      <w:r w:rsidR="00547CA1" w:rsidRPr="00547CA1">
        <w:rPr>
          <w:rFonts w:ascii="Arial" w:eastAsia="Arial" w:hAnsi="Arial" w:cs="Arial"/>
        </w:rPr>
        <w:t>na</w:t>
      </w:r>
      <w:r w:rsidR="00547CA1">
        <w:rPr>
          <w:rFonts w:ascii="Arial" w:eastAsia="Arial" w:hAnsi="Arial" w:cs="Arial"/>
        </w:rPr>
        <w:t xml:space="preserve"> </w:t>
      </w:r>
      <w:r w:rsidR="00547CA1" w:rsidRPr="00547CA1">
        <w:rPr>
          <w:rFonts w:ascii="Arial" w:eastAsia="Arial" w:hAnsi="Arial" w:cs="Arial"/>
        </w:rPr>
        <w:t>VaVaI,</w:t>
      </w:r>
      <w:r w:rsidR="00547CA1">
        <w:rPr>
          <w:rFonts w:ascii="Arial" w:eastAsia="Arial" w:hAnsi="Arial" w:cs="Arial"/>
        </w:rPr>
        <w:t xml:space="preserve"> </w:t>
      </w:r>
      <w:r w:rsidR="00547CA1" w:rsidRPr="00547CA1">
        <w:rPr>
          <w:rFonts w:ascii="Arial" w:eastAsia="Arial" w:hAnsi="Arial" w:cs="Arial"/>
        </w:rPr>
        <w:t>považuje</w:t>
      </w:r>
      <w:r>
        <w:rPr>
          <w:rFonts w:ascii="Arial" w:eastAsia="Arial" w:hAnsi="Arial" w:cs="Arial"/>
        </w:rPr>
        <w:t xml:space="preserve"> </w:t>
      </w:r>
      <w:r w:rsidR="00547CA1" w:rsidRPr="00547CA1">
        <w:rPr>
          <w:rFonts w:ascii="Arial" w:eastAsia="Arial" w:hAnsi="Arial" w:cs="Arial"/>
        </w:rPr>
        <w:t>TA</w:t>
      </w:r>
      <w:r w:rsidR="00150178">
        <w:rPr>
          <w:rFonts w:ascii="Arial" w:eastAsia="Arial" w:hAnsi="Arial" w:cs="Arial"/>
        </w:rPr>
        <w:t xml:space="preserve"> </w:t>
      </w:r>
      <w:r w:rsidR="00547CA1" w:rsidRPr="00547CA1">
        <w:rPr>
          <w:rFonts w:ascii="Arial" w:eastAsia="Arial" w:hAnsi="Arial" w:cs="Arial"/>
        </w:rPr>
        <w:t>ČR</w:t>
      </w:r>
      <w:r w:rsidR="00547CA1">
        <w:rPr>
          <w:rFonts w:ascii="Arial" w:eastAsia="Arial" w:hAnsi="Arial" w:cs="Arial"/>
        </w:rPr>
        <w:t xml:space="preserve"> </w:t>
      </w:r>
      <w:r w:rsidR="00547CA1" w:rsidRPr="00547CA1">
        <w:rPr>
          <w:rFonts w:ascii="Arial" w:eastAsia="Arial" w:hAnsi="Arial" w:cs="Arial"/>
        </w:rPr>
        <w:t xml:space="preserve">za vhodné předložit </w:t>
      </w:r>
      <w:r w:rsidR="002C0CAE">
        <w:rPr>
          <w:rFonts w:ascii="Arial" w:eastAsia="Arial" w:hAnsi="Arial" w:cs="Arial"/>
        </w:rPr>
        <w:t>Perspektivy</w:t>
      </w:r>
      <w:r w:rsidR="002C0CAE" w:rsidRPr="00547CA1">
        <w:rPr>
          <w:rFonts w:ascii="Arial" w:eastAsia="Arial" w:hAnsi="Arial" w:cs="Arial"/>
        </w:rPr>
        <w:t xml:space="preserve"> </w:t>
      </w:r>
      <w:r w:rsidR="00547CA1" w:rsidRPr="00547CA1">
        <w:rPr>
          <w:rFonts w:ascii="Arial" w:eastAsia="Arial" w:hAnsi="Arial" w:cs="Arial"/>
        </w:rPr>
        <w:t>vládě ČR ke schvál</w:t>
      </w:r>
      <w:r>
        <w:rPr>
          <w:rFonts w:ascii="Arial" w:eastAsia="Arial" w:hAnsi="Arial" w:cs="Arial"/>
        </w:rPr>
        <w:t xml:space="preserve">ení. Tato praxe je již zavedená </w:t>
      </w:r>
      <w:r w:rsidR="00547CA1">
        <w:rPr>
          <w:rFonts w:ascii="Arial" w:eastAsia="Arial" w:hAnsi="Arial" w:cs="Arial"/>
        </w:rPr>
        <w:t xml:space="preserve">u </w:t>
      </w:r>
      <w:r w:rsidR="002C0CAE">
        <w:rPr>
          <w:rFonts w:ascii="Arial" w:eastAsia="Arial" w:hAnsi="Arial" w:cs="Arial"/>
        </w:rPr>
        <w:t xml:space="preserve">koncepčních dokumentů </w:t>
      </w:r>
      <w:r w:rsidR="00547CA1" w:rsidRPr="00547CA1">
        <w:rPr>
          <w:rFonts w:ascii="Arial" w:eastAsia="Arial" w:hAnsi="Arial" w:cs="Arial"/>
        </w:rPr>
        <w:t>Grantové agentury České republiky.</w:t>
      </w:r>
      <w:r w:rsidR="00DE7AAD">
        <w:rPr>
          <w:rFonts w:ascii="Arial" w:eastAsia="Arial" w:hAnsi="Arial" w:cs="Arial"/>
        </w:rPr>
        <w:t xml:space="preserve"> </w:t>
      </w:r>
    </w:p>
    <w:p w14:paraId="00000007" w14:textId="12D7AC48" w:rsidR="00DA723E" w:rsidRDefault="00DA723E" w:rsidP="00D17EC4">
      <w:pPr>
        <w:spacing w:after="120" w:line="240" w:lineRule="auto"/>
        <w:jc w:val="both"/>
        <w:rPr>
          <w:rFonts w:ascii="Arial" w:eastAsia="Arial" w:hAnsi="Arial" w:cs="Arial"/>
        </w:rPr>
      </w:pPr>
    </w:p>
    <w:p w14:paraId="00000008" w14:textId="1DDFE4E1" w:rsidR="00DA723E" w:rsidRDefault="00D52E62" w:rsidP="00D17EC4">
      <w:pPr>
        <w:spacing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Perspektivy nemají</w:t>
      </w:r>
      <w:r w:rsidR="00E14DAE">
        <w:rPr>
          <w:rFonts w:ascii="Arial" w:eastAsia="Arial" w:hAnsi="Arial" w:cs="Arial"/>
        </w:rPr>
        <w:t xml:space="preserve"> negativní dopad na výdaje státního rozpočtu na výzkum, vývoj a inovace </w:t>
      </w:r>
      <w:r w:rsidR="00C43AAA">
        <w:rPr>
          <w:rFonts w:ascii="Arial" w:eastAsia="Arial" w:hAnsi="Arial" w:cs="Arial"/>
        </w:rPr>
        <w:br/>
      </w:r>
      <w:r w:rsidR="00E14DAE">
        <w:rPr>
          <w:rFonts w:ascii="Arial" w:eastAsia="Arial" w:hAnsi="Arial" w:cs="Arial"/>
        </w:rPr>
        <w:t xml:space="preserve">ani na jiné veřejné rozpočty, podnikatelské prostředí, sociální oblast, životní prostředí </w:t>
      </w:r>
      <w:r w:rsidR="00DE7AAD">
        <w:rPr>
          <w:rFonts w:ascii="Arial" w:eastAsia="Arial" w:hAnsi="Arial" w:cs="Arial"/>
        </w:rPr>
        <w:br/>
      </w:r>
      <w:r w:rsidR="00E14DAE">
        <w:rPr>
          <w:rFonts w:ascii="Arial" w:eastAsia="Arial" w:hAnsi="Arial" w:cs="Arial"/>
        </w:rPr>
        <w:t>ani na rovné postavení mužů a žen.</w:t>
      </w:r>
    </w:p>
    <w:p w14:paraId="00000009" w14:textId="77777777" w:rsidR="00DA723E" w:rsidRDefault="00DA723E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</w:p>
    <w:p w14:paraId="0000000A" w14:textId="77777777" w:rsidR="00DA723E" w:rsidRDefault="00E14DAE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Materiál byl projednán x. zasedání Rady, které se konalo dne ……</w:t>
      </w:r>
    </w:p>
    <w:p w14:paraId="0000000B" w14:textId="77777777" w:rsidR="00DA723E" w:rsidRDefault="00DA723E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14:paraId="0000000D" w14:textId="2BD60910" w:rsidR="00DA723E" w:rsidRDefault="00E14DAE" w:rsidP="00407649">
      <w:pPr>
        <w:keepLines/>
        <w:spacing w:after="0" w:line="360" w:lineRule="auto"/>
        <w:ind w:firstLine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Do meziresortního připomínkového řízení byl materiál rozeslán x. y. zzz s termínem zaslání připomínek do x. y. zzz. Byly doručeny připomínky z x připomínkových míst. Vypořádání výsledků meziresortního připomínkového řízení je uvedeno v části IV. předkládaného materiálu. Materiál je předkládán xxxx.</w:t>
      </w:r>
    </w:p>
    <w:sectPr w:rsidR="00DA723E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D6A7B" w14:textId="77777777" w:rsidR="006A525B" w:rsidRDefault="006A525B">
      <w:pPr>
        <w:spacing w:after="0" w:line="240" w:lineRule="auto"/>
      </w:pPr>
      <w:r>
        <w:separator/>
      </w:r>
    </w:p>
  </w:endnote>
  <w:endnote w:type="continuationSeparator" w:id="0">
    <w:p w14:paraId="23D2845C" w14:textId="77777777" w:rsidR="006A525B" w:rsidRDefault="006A5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E" w14:textId="5ABF667D" w:rsidR="00DA723E" w:rsidRDefault="00E14D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43947">
      <w:rPr>
        <w:noProof/>
        <w:color w:val="000000"/>
      </w:rPr>
      <w:t>1</w:t>
    </w:r>
    <w:r>
      <w:rPr>
        <w:color w:val="000000"/>
      </w:rPr>
      <w:fldChar w:fldCharType="end"/>
    </w:r>
  </w:p>
  <w:p w14:paraId="0000000F" w14:textId="77777777" w:rsidR="00DA723E" w:rsidRDefault="00DA723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6871C" w14:textId="77777777" w:rsidR="006A525B" w:rsidRDefault="006A525B">
      <w:pPr>
        <w:spacing w:after="0" w:line="240" w:lineRule="auto"/>
      </w:pPr>
      <w:r>
        <w:separator/>
      </w:r>
    </w:p>
  </w:footnote>
  <w:footnote w:type="continuationSeparator" w:id="0">
    <w:p w14:paraId="7B187337" w14:textId="77777777" w:rsidR="006A525B" w:rsidRDefault="006A52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23E"/>
    <w:rsid w:val="0001248E"/>
    <w:rsid w:val="00017CDE"/>
    <w:rsid w:val="0008203B"/>
    <w:rsid w:val="000D37BB"/>
    <w:rsid w:val="000F5EBB"/>
    <w:rsid w:val="00130887"/>
    <w:rsid w:val="00143947"/>
    <w:rsid w:val="00150178"/>
    <w:rsid w:val="00237973"/>
    <w:rsid w:val="002C0CAE"/>
    <w:rsid w:val="002F4517"/>
    <w:rsid w:val="00407649"/>
    <w:rsid w:val="00452F32"/>
    <w:rsid w:val="00522468"/>
    <w:rsid w:val="00547CA1"/>
    <w:rsid w:val="006A525B"/>
    <w:rsid w:val="00702677"/>
    <w:rsid w:val="009E58BE"/>
    <w:rsid w:val="00B7317A"/>
    <w:rsid w:val="00BF0EE3"/>
    <w:rsid w:val="00C43AAA"/>
    <w:rsid w:val="00D17EC4"/>
    <w:rsid w:val="00D235E9"/>
    <w:rsid w:val="00D52E62"/>
    <w:rsid w:val="00DA06D5"/>
    <w:rsid w:val="00DA723E"/>
    <w:rsid w:val="00DE7AAD"/>
    <w:rsid w:val="00E1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CBAB57"/>
  <w15:docId w15:val="{2D3B1E5D-430B-4F32-B405-E34E66838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346EC"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4346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46E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346EC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4346E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34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46EC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41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4132"/>
    <w:rPr>
      <w:b/>
      <w:bCs/>
      <w:sz w:val="20"/>
      <w:szCs w:val="20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Zhlav">
    <w:name w:val="header"/>
    <w:basedOn w:val="Normln"/>
    <w:link w:val="ZhlavChar"/>
    <w:uiPriority w:val="99"/>
    <w:unhideWhenUsed/>
    <w:rsid w:val="007F7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F71"/>
  </w:style>
  <w:style w:type="paragraph" w:styleId="Zpat">
    <w:name w:val="footer"/>
    <w:basedOn w:val="Normln"/>
    <w:link w:val="ZpatChar"/>
    <w:uiPriority w:val="99"/>
    <w:unhideWhenUsed/>
    <w:rsid w:val="007F7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F7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8Lc3tbMCJAgqsyAopM/UeBs7nQ==">AMUW2mVO72ObLtSBWU7QOuqLZ5Ly6AXZR+O39vDJQIf9P3yYG8fMysjXh/vBlwqo3UkK7wwlp8DePOEfKcMqWyXTU84CswmDzbx3Bp2GVgsHXADmVO0+lRA=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Komárek</dc:creator>
  <cp:lastModifiedBy>Alexandra Pirošová</cp:lastModifiedBy>
  <cp:revision>2</cp:revision>
  <dcterms:created xsi:type="dcterms:W3CDTF">2021-03-12T10:08:00Z</dcterms:created>
  <dcterms:modified xsi:type="dcterms:W3CDTF">2021-03-12T10:08:00Z</dcterms:modified>
</cp:coreProperties>
</file>